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12" w:rsidRPr="00D02EA7" w:rsidRDefault="00D02EA7" w:rsidP="00D02EA7">
      <w:pPr>
        <w:spacing w:after="120" w:line="276" w:lineRule="auto"/>
        <w:rPr>
          <w:rFonts w:ascii="Arial" w:hAnsi="Arial" w:cs="Arial"/>
          <w:i/>
          <w:sz w:val="20"/>
          <w:szCs w:val="20"/>
        </w:rPr>
      </w:pPr>
      <w:r w:rsidRPr="00D02EA7">
        <w:rPr>
          <w:rFonts w:ascii="Arial" w:hAnsi="Arial" w:cs="Arial"/>
          <w:i/>
          <w:sz w:val="20"/>
          <w:szCs w:val="20"/>
        </w:rPr>
        <w:t>Załącznik nr 4 do planu połączenia</w:t>
      </w:r>
    </w:p>
    <w:p w:rsidR="00D02EA7" w:rsidRDefault="00D02EA7" w:rsidP="00D02EA7">
      <w:pPr>
        <w:pStyle w:val="align-center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:rsidR="00D02EA7" w:rsidRDefault="00D02EA7" w:rsidP="00D02EA7">
      <w:pPr>
        <w:pStyle w:val="align-center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  <w:r w:rsidRPr="00D02EA7">
        <w:rPr>
          <w:rFonts w:ascii="Arial" w:hAnsi="Arial" w:cs="Arial"/>
          <w:b/>
          <w:bCs/>
          <w:sz w:val="20"/>
          <w:szCs w:val="20"/>
        </w:rPr>
        <w:t>OŚWIADCZENIE ZA</w:t>
      </w:r>
      <w:r>
        <w:rPr>
          <w:rFonts w:ascii="Arial" w:hAnsi="Arial" w:cs="Arial"/>
          <w:b/>
          <w:bCs/>
          <w:sz w:val="20"/>
          <w:szCs w:val="20"/>
        </w:rPr>
        <w:t>RZĄDU O STANIE KSIĘGOWYM SPÓŁKI</w:t>
      </w:r>
    </w:p>
    <w:p w:rsidR="00D02EA7" w:rsidRDefault="00D07DA9" w:rsidP="00D02EA7">
      <w:pPr>
        <w:pStyle w:val="align-center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EKOSAR</w:t>
      </w:r>
      <w:bookmarkStart w:id="0" w:name="_GoBack"/>
      <w:bookmarkEnd w:id="0"/>
      <w:r w:rsidR="00D02EA7">
        <w:rPr>
          <w:rFonts w:ascii="Arial" w:hAnsi="Arial" w:cs="Arial"/>
          <w:b/>
          <w:bCs/>
          <w:sz w:val="20"/>
          <w:szCs w:val="20"/>
        </w:rPr>
        <w:t xml:space="preserve"> Spółka z ograniczoną odpowiedzialnością z siedzibą w Bytomiu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4F2406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Zgodnie z ustawą z dnia 29 września 1994 roku o rachunkowości (</w:t>
      </w:r>
      <w:proofErr w:type="spellStart"/>
      <w:r w:rsidRPr="00D02EA7">
        <w:rPr>
          <w:rFonts w:ascii="Arial" w:hAnsi="Arial" w:cs="Arial"/>
          <w:sz w:val="20"/>
          <w:szCs w:val="20"/>
        </w:rPr>
        <w:t>Dz.U</w:t>
      </w:r>
      <w:proofErr w:type="spellEnd"/>
      <w:r w:rsidRPr="00D02EA7">
        <w:rPr>
          <w:rFonts w:ascii="Arial" w:hAnsi="Arial" w:cs="Arial"/>
          <w:sz w:val="20"/>
          <w:szCs w:val="20"/>
        </w:rPr>
        <w:t xml:space="preserve">. 121 poz.591 z późniejszymi zmianami) oraz </w:t>
      </w:r>
      <w:proofErr w:type="spellStart"/>
      <w:r w:rsidRPr="00D02EA7">
        <w:rPr>
          <w:rFonts w:ascii="Arial" w:hAnsi="Arial" w:cs="Arial"/>
          <w:sz w:val="20"/>
          <w:szCs w:val="20"/>
        </w:rPr>
        <w:t>art</w:t>
      </w:r>
      <w:proofErr w:type="spellEnd"/>
      <w:r w:rsidRPr="00D02EA7">
        <w:rPr>
          <w:rFonts w:ascii="Arial" w:hAnsi="Arial" w:cs="Arial"/>
          <w:sz w:val="20"/>
          <w:szCs w:val="20"/>
        </w:rPr>
        <w:t xml:space="preserve"> 499 §2 </w:t>
      </w:r>
      <w:proofErr w:type="spellStart"/>
      <w:r w:rsidRPr="00D02EA7">
        <w:rPr>
          <w:rFonts w:ascii="Arial" w:hAnsi="Arial" w:cs="Arial"/>
          <w:sz w:val="20"/>
          <w:szCs w:val="20"/>
        </w:rPr>
        <w:t>pkt</w:t>
      </w:r>
      <w:proofErr w:type="spellEnd"/>
      <w:r w:rsidRPr="00D02EA7">
        <w:rPr>
          <w:rFonts w:ascii="Arial" w:hAnsi="Arial" w:cs="Arial"/>
          <w:sz w:val="20"/>
          <w:szCs w:val="20"/>
        </w:rPr>
        <w:t xml:space="preserve"> 4 </w:t>
      </w:r>
      <w:proofErr w:type="spellStart"/>
      <w:r w:rsidRPr="00D02EA7">
        <w:rPr>
          <w:rFonts w:ascii="Arial" w:hAnsi="Arial" w:cs="Arial"/>
          <w:sz w:val="20"/>
          <w:szCs w:val="20"/>
        </w:rPr>
        <w:t>ksh</w:t>
      </w:r>
      <w:proofErr w:type="spellEnd"/>
      <w:r w:rsidRPr="00D02EA7">
        <w:rPr>
          <w:rFonts w:ascii="Arial" w:hAnsi="Arial" w:cs="Arial"/>
          <w:sz w:val="20"/>
          <w:szCs w:val="20"/>
        </w:rPr>
        <w:t xml:space="preserve">, Zarząd zapewnił sporządzenie </w:t>
      </w:r>
      <w:r w:rsidR="004F2406">
        <w:rPr>
          <w:rFonts w:ascii="Arial" w:hAnsi="Arial" w:cs="Arial"/>
          <w:sz w:val="20"/>
          <w:szCs w:val="20"/>
        </w:rPr>
        <w:t>bilansu dla celów połączenia na </w:t>
      </w:r>
      <w:r w:rsidRPr="00D02EA7">
        <w:rPr>
          <w:rFonts w:ascii="Arial" w:hAnsi="Arial" w:cs="Arial"/>
          <w:sz w:val="20"/>
          <w:szCs w:val="20"/>
        </w:rPr>
        <w:t xml:space="preserve">dzień </w:t>
      </w:r>
      <w:r w:rsidR="002E7DEE">
        <w:rPr>
          <w:rFonts w:ascii="Arial" w:hAnsi="Arial" w:cs="Arial"/>
          <w:sz w:val="20"/>
          <w:szCs w:val="20"/>
        </w:rPr>
        <w:t>30.11</w:t>
      </w:r>
      <w:r w:rsidR="004F2406">
        <w:rPr>
          <w:rFonts w:ascii="Arial" w:hAnsi="Arial" w:cs="Arial"/>
          <w:sz w:val="20"/>
          <w:szCs w:val="20"/>
        </w:rPr>
        <w:t>.2013r.</w:t>
      </w:r>
      <w:r w:rsidRPr="00D02EA7">
        <w:rPr>
          <w:rFonts w:ascii="Arial" w:hAnsi="Arial" w:cs="Arial"/>
          <w:sz w:val="20"/>
          <w:szCs w:val="20"/>
        </w:rPr>
        <w:t xml:space="preserve"> który po stronie aktywów i pasywów wykazuje kwotę </w:t>
      </w:r>
      <w:r w:rsidR="002E7DEE">
        <w:rPr>
          <w:rFonts w:ascii="Arial" w:hAnsi="Arial" w:cs="Arial"/>
          <w:sz w:val="20"/>
          <w:szCs w:val="20"/>
        </w:rPr>
        <w:t>1 926 264,15</w:t>
      </w:r>
      <w:r w:rsidR="00937C39">
        <w:rPr>
          <w:rFonts w:ascii="Arial" w:hAnsi="Arial" w:cs="Arial"/>
          <w:sz w:val="20"/>
          <w:szCs w:val="20"/>
        </w:rPr>
        <w:t xml:space="preserve"> złoty</w:t>
      </w:r>
    </w:p>
    <w:p w:rsidR="004F2406" w:rsidRDefault="004F2406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 xml:space="preserve">Podstawą otwarcia ksiąg rachunkowych </w:t>
      </w:r>
      <w:r w:rsidR="00937C39">
        <w:rPr>
          <w:rFonts w:ascii="Arial" w:hAnsi="Arial" w:cs="Arial"/>
          <w:sz w:val="20"/>
          <w:szCs w:val="20"/>
        </w:rPr>
        <w:t>na 01.01.2013r.</w:t>
      </w:r>
      <w:r w:rsidRPr="00D02EA7">
        <w:rPr>
          <w:rFonts w:ascii="Arial" w:hAnsi="Arial" w:cs="Arial"/>
          <w:sz w:val="20"/>
          <w:szCs w:val="20"/>
        </w:rPr>
        <w:t xml:space="preserve"> było sprawozdanie finansowe za rok obrotowy kończący się </w:t>
      </w:r>
      <w:r w:rsidR="00937C39">
        <w:rPr>
          <w:rFonts w:ascii="Arial" w:hAnsi="Arial" w:cs="Arial"/>
          <w:sz w:val="20"/>
          <w:szCs w:val="20"/>
        </w:rPr>
        <w:t>31.12.2012r.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 xml:space="preserve">Dane wykazane w bilansie sporządzonym na dzień </w:t>
      </w:r>
      <w:r w:rsidR="002E7DEE">
        <w:rPr>
          <w:rFonts w:ascii="Arial" w:hAnsi="Arial" w:cs="Arial"/>
          <w:sz w:val="20"/>
          <w:szCs w:val="20"/>
        </w:rPr>
        <w:t>30.11</w:t>
      </w:r>
      <w:r w:rsidR="00937C39">
        <w:rPr>
          <w:rFonts w:ascii="Arial" w:hAnsi="Arial" w:cs="Arial"/>
          <w:sz w:val="20"/>
          <w:szCs w:val="20"/>
        </w:rPr>
        <w:t>.2013r.</w:t>
      </w:r>
      <w:r w:rsidRPr="00D02EA7">
        <w:rPr>
          <w:rFonts w:ascii="Arial" w:hAnsi="Arial" w:cs="Arial"/>
          <w:sz w:val="20"/>
          <w:szCs w:val="20"/>
        </w:rPr>
        <w:t xml:space="preserve"> zgodne są z danymi wynikającymi z ksiąg rachunkowych.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Zarząd zapewnia, iż bilans sporządzony dla celów połączenia przedstawia rzetelnie i jasno sytuację majątkową i finansową Spółki, wynik finansowy Spółki. Przy sporządzeniu bilansu Zarząd zapewnił wybór właściwych zasad wyceny oraz sporządzenia bilansu i za</w:t>
      </w:r>
      <w:r w:rsidR="004F2406">
        <w:rPr>
          <w:rFonts w:ascii="Arial" w:hAnsi="Arial" w:cs="Arial"/>
          <w:sz w:val="20"/>
          <w:szCs w:val="20"/>
        </w:rPr>
        <w:t xml:space="preserve">chował ciągłość ich stosowania. </w:t>
      </w:r>
      <w:r w:rsidRPr="00D02EA7">
        <w:rPr>
          <w:rFonts w:ascii="Arial" w:hAnsi="Arial" w:cs="Arial"/>
          <w:sz w:val="20"/>
          <w:szCs w:val="20"/>
        </w:rPr>
        <w:t>Przy wycenie aktywów i pasywów oraz ustaleniu wyniku finansowego przyjęto, że spółka będzie kontynuowała w dającej się przewidzieć przyszłości działalność gospodarczą w nie zmniejszonym istotnie zakresie, co jest zgodne ze stanem faktycznym i prawnym.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Zarząd Spółki ponosi odpowiedzialność za wykonywanie obowiązków w zakresie rachunkowości określonych przepisami prawa.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1.    Do sporządzenia bilansu Zarząd zapewnił: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a)    Księgi rachunkowe oraz odpowiednie dowody księgowe i inne dane.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b)    Protokoły ze zgromadzeń udziałowców i Zarządu Spółki lub streszczenia z przebiegu ostatnich posiedzeń, z których protokoły nie zostały jeszcze sporządzone.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2.    Nie zaistniały żadne nieprawidłowości w działaniu kierownictwa Spółki lub innych pracowników, pełniących ważne role w systemie kontroli wewnętrznej.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3.    Spółce nie przedstawiono żadnych zastrzeżeń ze strony odpowiednich urzędów dotyczących niezgodności lub nieprawidłowości w jej sprawozdawczości finansowej.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    </w:t>
      </w:r>
      <w:r w:rsidR="002E7DEE">
        <w:rPr>
          <w:rFonts w:ascii="Arial" w:hAnsi="Arial" w:cs="Arial"/>
          <w:sz w:val="20"/>
          <w:szCs w:val="20"/>
        </w:rPr>
        <w:t>Bilans sporządzony na 30.11</w:t>
      </w:r>
      <w:r w:rsidR="00937C39">
        <w:rPr>
          <w:rFonts w:ascii="Arial" w:hAnsi="Arial" w:cs="Arial"/>
          <w:sz w:val="20"/>
          <w:szCs w:val="20"/>
        </w:rPr>
        <w:t xml:space="preserve">.2013 </w:t>
      </w:r>
      <w:r w:rsidRPr="00D02EA7">
        <w:rPr>
          <w:rFonts w:ascii="Arial" w:hAnsi="Arial" w:cs="Arial"/>
          <w:sz w:val="20"/>
          <w:szCs w:val="20"/>
        </w:rPr>
        <w:t>w prawidłowy i rzetelny sposób ujmuje lub wykazuje: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a)    Kwoty należności i zobowiązań pomiędzy podmiotami powiązanymi.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b)    Wszystkie zobowiązania z tytułu zaciągniętych kredytów i pożyczek.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5.    Nie zaistniały naruszenia lub możliwe naruszenia prawa lub przepisów, sprawy sądowe w toku postępowania lub przygotowywane do postępowania sądowego, których skutki powinny być wykazane w bilansie lub wzięte pod uwagę jako podstawa do utworzenia rezerwy na straty.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6.    Nie istnieją transakcje, które zostały nieprawidłowo ujęte w księgach rachunkowych stanowiących podstawę bilansu.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7.    Spółka ma prawny tytuł do posiadanych składników majątku.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8.    Spółka wywiązała się ze wszystkich postanowień zawartych umów, których niespełnienie mogłoby wpłynąć na bilans.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 xml:space="preserve">9.    Po </w:t>
      </w:r>
      <w:r w:rsidR="002E7DEE">
        <w:rPr>
          <w:rFonts w:ascii="Arial" w:hAnsi="Arial" w:cs="Arial"/>
          <w:sz w:val="20"/>
          <w:szCs w:val="20"/>
        </w:rPr>
        <w:t>30.11</w:t>
      </w:r>
      <w:r w:rsidR="00937C39">
        <w:rPr>
          <w:rFonts w:ascii="Arial" w:hAnsi="Arial" w:cs="Arial"/>
          <w:sz w:val="20"/>
          <w:szCs w:val="20"/>
        </w:rPr>
        <w:t>.2013r.</w:t>
      </w:r>
      <w:r w:rsidRPr="00D02EA7">
        <w:rPr>
          <w:rFonts w:ascii="Arial" w:hAnsi="Arial" w:cs="Arial"/>
          <w:sz w:val="20"/>
          <w:szCs w:val="20"/>
        </w:rPr>
        <w:t>nie zaistniały żadne zdarzenia, które wymagałyby uwzględnienia w postaci korekt lub ujawnień w bilansie.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lastRenderedPageBreak/>
        <w:t>10.    Zarząd jest odpowiedzialny za określenie i zapewnienie odpowiedniego poziomu rezerw na wątpliwe należności, jak również za oszacowanie tych kwot. Zarząd uważa, że wartość utworzonych rezerw jest odpowiednia, by pokryć należności, oceniane w chwili obecnej jako nieściągalne.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11.    Dokonano odpisów aktualizujących z tytułu nadmiernych lub przestarzałych zapasów do ich prognozowanej ceny sprzedaży. Wszystkie zapasy stanowiły własność Spółki i nie zawierały żadnych pozycji wziętych w komis lub sprzedanych klientom.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12.    Utworzono rezerwę na wszelkie koszty i straty jakie mogą być poniesione z tytułu możliwości lub braku możliwości wywiązania się ze zobowiązań wynikających ze sprzedaży.</w:t>
      </w:r>
    </w:p>
    <w:p w:rsid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13.    W odniesieniu do posiadanego finansowego majątku trwałego (akcji i udziałów) nie zaistniały żadne zdarzenia i nie ujawniono żadnych danych, które mogłyby wskazywać na trwała utratę jego wartości.</w:t>
      </w:r>
    </w:p>
    <w:p w:rsidR="00D02EA7" w:rsidRPr="00D02EA7" w:rsidRDefault="00D02EA7" w:rsidP="00D02EA7">
      <w:pPr>
        <w:pStyle w:val="bodytex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2EA7">
        <w:rPr>
          <w:rFonts w:ascii="Arial" w:hAnsi="Arial" w:cs="Arial"/>
          <w:sz w:val="20"/>
          <w:szCs w:val="20"/>
        </w:rPr>
        <w:t>14.    Spółka, korzystając z najlepszych w jej mniemaniu szacunków, opartych o rozsądne i uzasadnione założenia i prognozy, dokonała przeglądu środków trwałych i wartości niematerialnych i prawnych pod kątem ich użytkowania i umorzenia na wypadek zaistnienia zdarzeń lub zmiany okoliczności powodujących, że nie udałoby się odzyskać wartości księgowej tych aktywów. Na tej podstawie Zarząd stwierdził, że nie są konieczne korekty z tego tytułu w bilansie.</w:t>
      </w:r>
    </w:p>
    <w:p w:rsidR="00D02EA7" w:rsidRPr="00D02EA7" w:rsidRDefault="00D02EA7" w:rsidP="00D02EA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sectPr w:rsidR="00D02EA7" w:rsidRPr="00D02EA7" w:rsidSect="000E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EA7"/>
    <w:rsid w:val="000E58B1"/>
    <w:rsid w:val="00142012"/>
    <w:rsid w:val="002E7DEE"/>
    <w:rsid w:val="00464465"/>
    <w:rsid w:val="004F2406"/>
    <w:rsid w:val="0068741C"/>
    <w:rsid w:val="007558C8"/>
    <w:rsid w:val="00937C39"/>
    <w:rsid w:val="00D02EA7"/>
    <w:rsid w:val="00D0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D02EA7"/>
    <w:pPr>
      <w:spacing w:after="300" w:line="2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bodytext">
    <w:name w:val="bodytext"/>
    <w:basedOn w:val="Normalny"/>
    <w:rsid w:val="00D02EA7"/>
    <w:pPr>
      <w:spacing w:after="300" w:line="240" w:lineRule="atLeast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2495">
                  <w:marLeft w:val="0"/>
                  <w:marRight w:val="525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</dc:creator>
  <cp:lastModifiedBy>Halina Wyszyńska</cp:lastModifiedBy>
  <cp:revision>6</cp:revision>
  <cp:lastPrinted>2013-12-17T06:49:00Z</cp:lastPrinted>
  <dcterms:created xsi:type="dcterms:W3CDTF">2013-11-25T08:01:00Z</dcterms:created>
  <dcterms:modified xsi:type="dcterms:W3CDTF">2013-12-17T06:50:00Z</dcterms:modified>
</cp:coreProperties>
</file>